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304</w:t>
      </w:r>
      <w:r>
        <w:rPr>
          <w:rFonts w:ascii="Times New Roman" w:eastAsia="Times New Roman" w:hAnsi="Times New Roman" w:cs="Times New Roman"/>
          <w:sz w:val="28"/>
          <w:szCs w:val="28"/>
        </w:rPr>
        <w:t>-200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 xml:space="preserve">18 марта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Ильнура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Азатовича</w:t>
      </w:r>
      <w:r>
        <w:rPr>
          <w:rFonts w:ascii="Times New Roman" w:eastAsia="Times New Roman" w:hAnsi="Times New Roman" w:cs="Times New Roman"/>
          <w:sz w:val="28"/>
          <w:szCs w:val="28"/>
        </w:rPr>
        <w:t xml:space="preserve">, </w:t>
      </w:r>
      <w:r>
        <w:rPr>
          <w:rStyle w:val="cat-ExternalSystemDefinedgrp-46rplc-7"/>
          <w:rFonts w:ascii="Times New Roman" w:eastAsia="Times New Roman" w:hAnsi="Times New Roman" w:cs="Times New Roman"/>
          <w:sz w:val="28"/>
          <w:szCs w:val="28"/>
        </w:rPr>
        <w:t>...</w:t>
      </w:r>
      <w:r>
        <w:rPr>
          <w:rStyle w:val="cat-PassportDatagrp-25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по адресу: </w:t>
      </w:r>
      <w:r>
        <w:rPr>
          <w:rStyle w:val="cat-UserDefinedgrp-49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5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8rplc-14"/>
          <w:rFonts w:ascii="Times New Roman" w:eastAsia="Times New Roman" w:hAnsi="Times New Roman" w:cs="Times New Roman"/>
          <w:sz w:val="28"/>
          <w:szCs w:val="28"/>
        </w:rPr>
        <w:t>...</w:t>
      </w:r>
      <w:r>
        <w:rPr>
          <w:rStyle w:val="cat-ExternalSystemDefinedgrp-45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06.03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01:11 </w:t>
      </w:r>
      <w:r>
        <w:rPr>
          <w:rFonts w:ascii="Times New Roman" w:eastAsia="Times New Roman" w:hAnsi="Times New Roman" w:cs="Times New Roman"/>
          <w:sz w:val="28"/>
          <w:szCs w:val="28"/>
        </w:rPr>
        <w:t>по адресу: ХМАО-Югра,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 ул. Набережная, стр. 16/11, </w:t>
      </w:r>
      <w:r>
        <w:rPr>
          <w:rFonts w:ascii="Times New Roman" w:eastAsia="Times New Roman" w:hAnsi="Times New Roman" w:cs="Times New Roman"/>
          <w:sz w:val="28"/>
          <w:szCs w:val="28"/>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этом его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деяния. Управлял т/с </w:t>
      </w:r>
      <w:r>
        <w:rPr>
          <w:rStyle w:val="cat-CarMakeModelgrp-32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Террано</w:t>
      </w:r>
      <w:r>
        <w:rPr>
          <w:rFonts w:ascii="Times New Roman" w:eastAsia="Times New Roman" w:hAnsi="Times New Roman" w:cs="Times New Roman"/>
          <w:sz w:val="28"/>
          <w:szCs w:val="28"/>
        </w:rPr>
        <w:t xml:space="preserve">, </w:t>
      </w:r>
      <w:r>
        <w:rPr>
          <w:rStyle w:val="cat-CarNumbergrp-33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06.03.2025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Нефтеюганск, ул. Набережная, стр. </w:t>
      </w:r>
      <w:r>
        <w:rPr>
          <w:rFonts w:ascii="Times New Roman" w:eastAsia="Times New Roman" w:hAnsi="Times New Roman" w:cs="Times New Roman"/>
          <w:sz w:val="28"/>
          <w:szCs w:val="28"/>
        </w:rPr>
        <w:t xml:space="preserve">22 -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с признаками опьянения, а именно поведение, не соответствующее обстановке</w:t>
      </w:r>
      <w:r>
        <w:rPr>
          <w:rFonts w:ascii="Times New Roman" w:eastAsia="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исследовав материалы дела, считает, что вина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51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Назмутдинову</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составлении протокола были разъяснены процессуальные права и обязанности, предусмотренные ст. 25.1 КоАП РФ,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положения ст. 51 Конституции РФ, о чем в протоколе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расписался, копия вручена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протокола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 водитель транспортного средства, 06.03.2025 в 01:11 по адресу: ХМАО-Югра, г. Нефтеюганск, ул. Набережная, стр. 16/11,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его действия не содержат уголовно наказуемого деяния. Управлял т/с </w:t>
      </w:r>
      <w:r>
        <w:rPr>
          <w:rStyle w:val="cat-CarMakeModelgrp-32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Террано</w:t>
      </w:r>
      <w:r>
        <w:rPr>
          <w:rFonts w:ascii="Times New Roman" w:eastAsia="Times New Roman" w:hAnsi="Times New Roman" w:cs="Times New Roman"/>
          <w:sz w:val="28"/>
          <w:szCs w:val="28"/>
        </w:rPr>
        <w:t xml:space="preserve">, </w:t>
      </w:r>
      <w:r>
        <w:rPr>
          <w:rStyle w:val="cat-CarNumbergrp-33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06.03.2025 в 00:13, г. Нефтеюганск, ул. Набережная, стр. 22 -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с признаками опьянения, а именно поведение, не соответствующее обстановке.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Style w:val="cat-UserDefinedgrp-52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 xml:space="preserve"> был отстранен от управления транспортным средством </w:t>
      </w:r>
      <w:r>
        <w:rPr>
          <w:rStyle w:val="cat-CarMakeModelgrp-32rplc-5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Террано</w:t>
      </w:r>
      <w:r>
        <w:rPr>
          <w:rFonts w:ascii="Times New Roman" w:eastAsia="Times New Roman" w:hAnsi="Times New Roman" w:cs="Times New Roman"/>
          <w:sz w:val="28"/>
          <w:szCs w:val="28"/>
        </w:rPr>
        <w:t xml:space="preserve">, </w:t>
      </w:r>
      <w:r>
        <w:rPr>
          <w:rStyle w:val="cat-CarNumbergrp-33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которым управлял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в связи с наличием признаков опьянения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протокол подписан </w:t>
      </w:r>
      <w:r>
        <w:rPr>
          <w:rFonts w:ascii="Times New Roman" w:eastAsia="Times New Roman" w:hAnsi="Times New Roman" w:cs="Times New Roman"/>
          <w:sz w:val="28"/>
          <w:szCs w:val="28"/>
        </w:rPr>
        <w:t>Назмутдиновым</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получена.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Style w:val="cat-UserDefinedgrp-53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при наличии у него </w:t>
      </w:r>
      <w:r>
        <w:rPr>
          <w:rFonts w:ascii="Times New Roman" w:eastAsia="Times New Roman" w:hAnsi="Times New Roman" w:cs="Times New Roman"/>
          <w:sz w:val="28"/>
          <w:szCs w:val="28"/>
        </w:rPr>
        <w:t xml:space="preserve">признаков алкогольного опьянения: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был освидетельствован на состояние алкогольного опьянения прибором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xml:space="preserve">, в ходе которого состояние алкогольного опьянения у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установлено не было, с результатами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согласился, о чем в акте расписался, данный акт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бумажным носителем с записью результатов исследования прибором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xml:space="preserve">, заводской номер </w:t>
      </w:r>
      <w:r>
        <w:rPr>
          <w:rFonts w:ascii="Times New Roman" w:eastAsia="Times New Roman" w:hAnsi="Times New Roman" w:cs="Times New Roman"/>
          <w:sz w:val="28"/>
          <w:szCs w:val="28"/>
        </w:rPr>
        <w:t>850672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01:03</w:t>
      </w:r>
      <w:r>
        <w:rPr>
          <w:rFonts w:ascii="Times New Roman" w:eastAsia="Times New Roman" w:hAnsi="Times New Roman" w:cs="Times New Roman"/>
          <w:sz w:val="28"/>
          <w:szCs w:val="28"/>
        </w:rPr>
        <w:t>– 0,00 мг/л;</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копией свидетельства о поверке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заводской номер 850672</w:t>
      </w:r>
      <w:r>
        <w:rPr>
          <w:rFonts w:ascii="Times New Roman" w:eastAsia="Times New Roman" w:hAnsi="Times New Roman" w:cs="Times New Roman"/>
          <w:sz w:val="28"/>
          <w:szCs w:val="28"/>
        </w:rPr>
        <w:t>, дата поверки 17.04.2024, действительно до 16.04.2025;</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Style w:val="cat-UserDefinedgrp-54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01:11</w:t>
      </w:r>
      <w:r>
        <w:rPr>
          <w:rFonts w:ascii="Times New Roman" w:eastAsia="Times New Roman" w:hAnsi="Times New Roman" w:cs="Times New Roman"/>
          <w:sz w:val="28"/>
          <w:szCs w:val="28"/>
        </w:rPr>
        <w:t xml:space="preserve"> 06.03.2025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8"/>
          <w:szCs w:val="28"/>
        </w:rPr>
        <w:t xml:space="preserve">Основанием для направления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Пройти </w:t>
      </w:r>
      <w:r>
        <w:rPr>
          <w:rFonts w:ascii="Times New Roman" w:eastAsia="Times New Roman" w:hAnsi="Times New Roman" w:cs="Times New Roman"/>
          <w:sz w:val="28"/>
          <w:szCs w:val="28"/>
        </w:rPr>
        <w:t xml:space="preserve">медицинское освидетельствование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 xml:space="preserve"> И.А. </w:t>
      </w:r>
      <w:r>
        <w:rPr>
          <w:rFonts w:ascii="Times New Roman" w:eastAsia="Times New Roman" w:hAnsi="Times New Roman" w:cs="Times New Roman"/>
          <w:sz w:val="28"/>
          <w:szCs w:val="28"/>
        </w:rPr>
        <w:t xml:space="preserve">отказался, о чем имеется его собственноручная запись и подпись в протоколе. Протокол был составлен с применением видеозаписи, подписан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Style w:val="cat-UserDefinedgrp-55rplc-7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изъятия вещей и документов, согласно которому изъято транспортное средство </w:t>
      </w:r>
      <w:r>
        <w:rPr>
          <w:rStyle w:val="cat-CarMakeModelgrp-32rplc-8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Террано</w:t>
      </w:r>
      <w:r>
        <w:rPr>
          <w:rFonts w:ascii="Times New Roman" w:eastAsia="Times New Roman" w:hAnsi="Times New Roman" w:cs="Times New Roman"/>
          <w:sz w:val="28"/>
          <w:szCs w:val="28"/>
        </w:rPr>
        <w:t xml:space="preserve">, </w:t>
      </w:r>
      <w:r>
        <w:rPr>
          <w:rStyle w:val="cat-CarNumbergrp-33rplc-8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 xml:space="preserve">постановления по делу об административном правонарушении </w:t>
      </w:r>
      <w:r>
        <w:rPr>
          <w:rFonts w:ascii="Times New Roman" w:eastAsia="Times New Roman" w:hAnsi="Times New Roman" w:cs="Times New Roman"/>
          <w:sz w:val="28"/>
          <w:szCs w:val="28"/>
        </w:rPr>
        <w:t>№</w:t>
      </w:r>
      <w:r>
        <w:rPr>
          <w:rStyle w:val="cat-UserDefinedgrp-56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xml:space="preserve"> о привлечении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к административной ответственности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w:t>
      </w: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ИАЗ </w:t>
      </w:r>
      <w:r>
        <w:rPr>
          <w:rStyle w:val="cat-ExternalSystemDefinedgrp-47rplc-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которая </w:t>
      </w:r>
      <w:r>
        <w:rPr>
          <w:rFonts w:ascii="Times New Roman" w:eastAsia="Times New Roman" w:hAnsi="Times New Roman" w:cs="Times New Roman"/>
          <w:sz w:val="28"/>
          <w:szCs w:val="28"/>
        </w:rPr>
        <w:t xml:space="preserve">в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Назмутдинов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И.А. </w:t>
      </w:r>
      <w:r>
        <w:rPr>
          <w:rFonts w:ascii="Times New Roman" w:eastAsia="Times New Roman" w:hAnsi="Times New Roman" w:cs="Times New Roman"/>
          <w:sz w:val="28"/>
          <w:szCs w:val="28"/>
        </w:rPr>
        <w:t>транспортным средством подтвержден доказательствами по делу.</w:t>
      </w:r>
    </w:p>
    <w:p>
      <w:pPr>
        <w:spacing w:before="0" w:after="0"/>
        <w:ind w:firstLine="567"/>
        <w:jc w:val="both"/>
        <w:rPr>
          <w:sz w:val="28"/>
          <w:szCs w:val="28"/>
        </w:rPr>
      </w:pPr>
      <w:r>
        <w:rPr>
          <w:rFonts w:ascii="Times New Roman" w:eastAsia="Times New Roman" w:hAnsi="Times New Roman" w:cs="Times New Roman"/>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Оснований для прекращения производства по делу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Назмутдинова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Ильнура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Азатовича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 xml:space="preserve">45 000 (сорок пять тысяч) </w:t>
      </w:r>
      <w:r>
        <w:rPr>
          <w:rFonts w:ascii="Times New Roman" w:eastAsia="Times New Roman" w:hAnsi="Times New Roman" w:cs="Times New Roman"/>
          <w:sz w:val="28"/>
          <w:szCs w:val="28"/>
        </w:rPr>
        <w:t>рублей с лишением права управления транспортными средствами на срок 1 (один) год и 6 (шесть) месяцев.</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Pr>
          <w:rFonts w:ascii="Times New Roman" w:eastAsia="Times New Roman" w:hAnsi="Times New Roman" w:cs="Times New Roman"/>
          <w:sz w:val="28"/>
          <w:szCs w:val="28"/>
        </w:rPr>
        <w:t>Госавтоинспекции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7rplc-9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50290</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337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rPr>
          <w:sz w:val="28"/>
          <w:szCs w:val="28"/>
        </w:rPr>
      </w:pPr>
    </w:p>
    <w:p>
      <w:pPr>
        <w:spacing w:before="0" w:after="0"/>
        <w:rPr>
          <w:sz w:val="26"/>
          <w:szCs w:val="26"/>
        </w:rPr>
      </w:pPr>
    </w:p>
    <w:p>
      <w:pPr>
        <w:spacing w:before="0" w:after="0"/>
        <w:rPr>
          <w:sz w:val="26"/>
          <w:szCs w:val="26"/>
        </w:rPr>
      </w:pPr>
    </w:p>
    <w:p>
      <w:pPr>
        <w:spacing w:before="0" w:after="0"/>
        <w:rPr>
          <w:sz w:val="26"/>
          <w:szCs w:val="26"/>
        </w:rPr>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6rplc-7">
    <w:name w:val="cat-ExternalSystemDefined grp-46 rplc-7"/>
    <w:basedOn w:val="DefaultParagraphFont"/>
  </w:style>
  <w:style w:type="character" w:customStyle="1" w:styleId="cat-PassportDatagrp-25rplc-8">
    <w:name w:val="cat-PassportData grp-25 rplc-8"/>
    <w:basedOn w:val="DefaultParagraphFont"/>
  </w:style>
  <w:style w:type="character" w:customStyle="1" w:styleId="cat-UserDefinedgrp-49rplc-10">
    <w:name w:val="cat-UserDefined grp-49 rplc-10"/>
    <w:basedOn w:val="DefaultParagraphFont"/>
  </w:style>
  <w:style w:type="character" w:customStyle="1" w:styleId="cat-UserDefinedgrp-50rplc-11">
    <w:name w:val="cat-UserDefined grp-50 rplc-11"/>
    <w:basedOn w:val="DefaultParagraphFont"/>
  </w:style>
  <w:style w:type="character" w:customStyle="1" w:styleId="cat-ExternalSystemDefinedgrp-48rplc-14">
    <w:name w:val="cat-ExternalSystemDefined grp-48 rplc-14"/>
    <w:basedOn w:val="DefaultParagraphFont"/>
  </w:style>
  <w:style w:type="character" w:customStyle="1" w:styleId="cat-ExternalSystemDefinedgrp-45rplc-16">
    <w:name w:val="cat-ExternalSystemDefined grp-45 rplc-16"/>
    <w:basedOn w:val="DefaultParagraphFont"/>
  </w:style>
  <w:style w:type="character" w:customStyle="1" w:styleId="cat-CarMakeModelgrp-32rplc-21">
    <w:name w:val="cat-CarMakeModel grp-32 rplc-21"/>
    <w:basedOn w:val="DefaultParagraphFont"/>
  </w:style>
  <w:style w:type="character" w:customStyle="1" w:styleId="cat-CarNumbergrp-33rplc-22">
    <w:name w:val="cat-CarNumber grp-33 rplc-22"/>
    <w:basedOn w:val="DefaultParagraphFont"/>
  </w:style>
  <w:style w:type="character" w:customStyle="1" w:styleId="cat-UserDefinedgrp-51rplc-33">
    <w:name w:val="cat-UserDefined grp-51 rplc-33"/>
    <w:basedOn w:val="DefaultParagraphFont"/>
  </w:style>
  <w:style w:type="character" w:customStyle="1" w:styleId="cat-CarMakeModelgrp-32rplc-42">
    <w:name w:val="cat-CarMakeModel grp-32 rplc-42"/>
    <w:basedOn w:val="DefaultParagraphFont"/>
  </w:style>
  <w:style w:type="character" w:customStyle="1" w:styleId="cat-CarNumbergrp-33rplc-43">
    <w:name w:val="cat-CarNumber grp-33 rplc-43"/>
    <w:basedOn w:val="DefaultParagraphFont"/>
  </w:style>
  <w:style w:type="character" w:customStyle="1" w:styleId="cat-UserDefinedgrp-52rplc-49">
    <w:name w:val="cat-UserDefined grp-52 rplc-49"/>
    <w:basedOn w:val="DefaultParagraphFont"/>
  </w:style>
  <w:style w:type="character" w:customStyle="1" w:styleId="cat-CarMakeModelgrp-32rplc-55">
    <w:name w:val="cat-CarMakeModel grp-32 rplc-55"/>
    <w:basedOn w:val="DefaultParagraphFont"/>
  </w:style>
  <w:style w:type="character" w:customStyle="1" w:styleId="cat-CarNumbergrp-33rplc-56">
    <w:name w:val="cat-CarNumber grp-33 rplc-56"/>
    <w:basedOn w:val="DefaultParagraphFont"/>
  </w:style>
  <w:style w:type="character" w:customStyle="1" w:styleId="cat-UserDefinedgrp-53rplc-60">
    <w:name w:val="cat-UserDefined grp-53 rplc-60"/>
    <w:basedOn w:val="DefaultParagraphFont"/>
  </w:style>
  <w:style w:type="character" w:customStyle="1" w:styleId="cat-UserDefinedgrp-54rplc-71">
    <w:name w:val="cat-UserDefined grp-54 rplc-71"/>
    <w:basedOn w:val="DefaultParagraphFont"/>
  </w:style>
  <w:style w:type="character" w:customStyle="1" w:styleId="cat-UserDefinedgrp-55rplc-79">
    <w:name w:val="cat-UserDefined grp-55 rplc-79"/>
    <w:basedOn w:val="DefaultParagraphFont"/>
  </w:style>
  <w:style w:type="character" w:customStyle="1" w:styleId="cat-CarMakeModelgrp-32rplc-81">
    <w:name w:val="cat-CarMakeModel grp-32 rplc-81"/>
    <w:basedOn w:val="DefaultParagraphFont"/>
  </w:style>
  <w:style w:type="character" w:customStyle="1" w:styleId="cat-CarNumbergrp-33rplc-82">
    <w:name w:val="cat-CarNumber grp-33 rplc-82"/>
    <w:basedOn w:val="DefaultParagraphFont"/>
  </w:style>
  <w:style w:type="character" w:customStyle="1" w:styleId="cat-UserDefinedgrp-56rplc-84">
    <w:name w:val="cat-UserDefined grp-56 rplc-84"/>
    <w:basedOn w:val="DefaultParagraphFont"/>
  </w:style>
  <w:style w:type="character" w:customStyle="1" w:styleId="cat-ExternalSystemDefinedgrp-47rplc-87">
    <w:name w:val="cat-ExternalSystemDefined grp-47 rplc-87"/>
    <w:basedOn w:val="DefaultParagraphFont"/>
  </w:style>
  <w:style w:type="character" w:customStyle="1" w:styleId="cat-OrganizationNamegrp-27rplc-96">
    <w:name w:val="cat-OrganizationName grp-27 rplc-96"/>
    <w:basedOn w:val="DefaultParagraphFont"/>
  </w:style>
  <w:style w:type="character" w:customStyle="1" w:styleId="cat-UserDefinedgrp-57rplc-104">
    <w:name w:val="cat-UserDefined grp-57 rplc-104"/>
    <w:basedOn w:val="DefaultParagraphFont"/>
  </w:style>
  <w:style w:type="character" w:customStyle="1" w:styleId="cat-UserDefinedgrp-58rplc-107">
    <w:name w:val="cat-UserDefined grp-58 rplc-10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